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A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bookmarkStart w:id="0" w:name="_GoBack"/>
      <w:r>
        <w:rPr>
          <w:i w:val="0"/>
          <w:iCs w:val="0"/>
          <w:caps w:val="0"/>
          <w:color w:val="001497"/>
          <w:spacing w:val="0"/>
          <w:sz w:val="36"/>
          <w:szCs w:val="36"/>
          <w:bdr w:val="none" w:color="auto" w:sz="0" w:space="0"/>
          <w:shd w:val="clear" w:fill="FFFFFF"/>
        </w:rPr>
        <w:t>中华人民共和国增值税法</w:t>
      </w:r>
      <w:bookmarkEnd w:id="0"/>
    </w:p>
    <w:p w14:paraId="667F6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b w:val="0"/>
          <w:bCs w:val="0"/>
          <w:color w:val="001497"/>
          <w:sz w:val="21"/>
          <w:szCs w:val="21"/>
        </w:rPr>
      </w:pPr>
      <w:r>
        <w:rPr>
          <w:b w:val="0"/>
          <w:bCs w:val="0"/>
          <w:i w:val="0"/>
          <w:iCs w:val="0"/>
          <w:caps w:val="0"/>
          <w:color w:val="001497"/>
          <w:spacing w:val="0"/>
          <w:sz w:val="21"/>
          <w:szCs w:val="21"/>
          <w:bdr w:val="none" w:color="auto" w:sz="0" w:space="0"/>
          <w:shd w:val="clear" w:fill="FFFFFF"/>
        </w:rPr>
        <w:t>（2024年12月25日第十四届全国人民代表大会常务委员会第十三次会议通过）</w:t>
      </w:r>
    </w:p>
    <w:p w14:paraId="631DC68D">
      <w:pPr>
        <w:keepNext w:val="0"/>
        <w:keepLines w:val="0"/>
        <w:widowControl/>
        <w:suppressLineNumbers w:val="0"/>
        <w:pBdr>
          <w:top w:val="none" w:color="auto" w:sz="0" w:space="0"/>
          <w:left w:val="none" w:color="auto" w:sz="0" w:space="0"/>
          <w:bottom w:val="single" w:color="D1D1D1" w:sz="6"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来源： 中国人大网  浏览字号：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"http://www.npc.gov.cn/npc/c2/c30834/202412/t20241225_442038.html"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大</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"http://www.npc.gov.cn/npc/c2/c30834/202412/t20241225_442038.html"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中</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"http://www.npc.gov.cn/npc/c2/c30834/202412/t20241225_442038.html"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小</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2024年12月25日 17:00</w:t>
      </w:r>
    </w:p>
    <w:p w14:paraId="279B7A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目 　录</w:t>
      </w:r>
    </w:p>
    <w:p w14:paraId="66910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kern w:val="0"/>
          <w:sz w:val="24"/>
          <w:szCs w:val="24"/>
          <w:bdr w:val="none" w:color="auto" w:sz="0" w:space="0"/>
          <w:shd w:val="clear" w:fill="FFFFFF"/>
          <w:lang w:val="en-US" w:eastAsia="zh-CN" w:bidi="ar"/>
        </w:rPr>
        <w:t>　　第一章　总 　则</w:t>
      </w:r>
    </w:p>
    <w:p w14:paraId="5B73AD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　　第二章　税 　率</w:t>
      </w:r>
    </w:p>
    <w:p w14:paraId="730D5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　　第三章　应纳税额</w:t>
      </w:r>
    </w:p>
    <w:p w14:paraId="4E0F7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　　第四章　税收优惠</w:t>
      </w:r>
    </w:p>
    <w:p w14:paraId="54CCB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　　第五章　征收管理</w:t>
      </w:r>
    </w:p>
    <w:p w14:paraId="769D9B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bdr w:val="none" w:color="auto" w:sz="0" w:space="0"/>
          <w:shd w:val="clear" w:fill="FFFFFF"/>
          <w:lang w:val="en-US" w:eastAsia="zh-CN" w:bidi="ar"/>
        </w:rPr>
        <w:t>　　第六章　附 　则</w:t>
      </w:r>
    </w:p>
    <w:p w14:paraId="349A0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第一章　总 　则</w:t>
      </w:r>
    </w:p>
    <w:p w14:paraId="09A8B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为了健全有利于高质量发展的增值税制度，规范增值税的征收和缴纳，保护纳税人的合法权益，制定本法。</w:t>
      </w:r>
    </w:p>
    <w:p w14:paraId="1BFD9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增值税税收工作应当贯彻落实党和国家路线方针政策、决策部署，为国民经济和社会发展服务。</w:t>
      </w:r>
    </w:p>
    <w:p w14:paraId="4C9CDD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在中华人民共和国境内（以下简称境内）销售货物、服务、无形资产、不动产（以下称应税交易），以及进口货物的单位和个人（包括个体工商户），为增值税的纳税人，应当依照本法规定缴纳增值税。</w:t>
      </w:r>
    </w:p>
    <w:p w14:paraId="2675A8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销售货物、服务、无形资产、不动产，是指有偿转让货物、不动产的所有权，有偿提供服务，有偿转让无形资产的所有权或者使用权。</w:t>
      </w:r>
    </w:p>
    <w:p w14:paraId="49949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在境内发生应税交易，是指下列情形：</w:t>
      </w:r>
    </w:p>
    <w:p w14:paraId="137317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（一）销售货物的，货物的起运地或者所在地在境内；</w:t>
      </w:r>
    </w:p>
    <w:p w14:paraId="33BDF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（二）销售或者租赁不动产、转让自然资源使用权的，不动产、自然资源所在地在境内；</w:t>
      </w:r>
    </w:p>
    <w:p w14:paraId="166093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（三）销售金融商品的，金融商品在境内发行，或者销售方为境内单位和个人；</w:t>
      </w:r>
    </w:p>
    <w:p w14:paraId="50AE6D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（四）除本条第二项、第三项规定外，销售服务、无形资产的，服务、无形资产在境内消费，或者销售方为境内单位和个人。</w:t>
      </w:r>
    </w:p>
    <w:p w14:paraId="74E6FA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有下列情形之一的，视同应税交易，应当依照本法规定缴纳增值税：</w:t>
      </w:r>
    </w:p>
    <w:p w14:paraId="23C15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（一）单位和个体工商户将自产或者委托加工的货物用于集体福利或者个人消费；</w:t>
      </w:r>
    </w:p>
    <w:p w14:paraId="253330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（二）单位和个体工商户无偿转让货物；</w:t>
      </w:r>
    </w:p>
    <w:p w14:paraId="16B1D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（三）单位和个人无偿转让无形资产、不动产或者金融商品。</w:t>
      </w:r>
    </w:p>
    <w:p w14:paraId="3C744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有下列情形之一的，不属于应税交易，不征收增值税：</w:t>
      </w:r>
    </w:p>
    <w:p w14:paraId="0D6C3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（一）员工为受雇单位或者雇主提供取得工资、薪金的服务；</w:t>
      </w:r>
    </w:p>
    <w:p w14:paraId="43542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（二）收取行政事业性收费、政府性基金；</w:t>
      </w:r>
    </w:p>
    <w:p w14:paraId="4540E4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（三）依照法律规定被征收、征用而取得补偿；</w:t>
      </w:r>
    </w:p>
    <w:p w14:paraId="09E72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（四）取得存款利息收入。</w:t>
      </w:r>
    </w:p>
    <w:p w14:paraId="5173C4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增值税为价外税，应税交易的销售额不包括增值税税额。增值税税额，应当按照国务院的规定在交易凭证上单独列明。</w:t>
      </w:r>
    </w:p>
    <w:p w14:paraId="45046D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纳税人发生应税交易，应当按照一般计税方法，通过销项税额抵扣进项税额计算应纳税额的方式，计算缴纳增值税；本法另有规定的除外。</w:t>
      </w:r>
    </w:p>
    <w:p w14:paraId="3B336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小规模纳税人可以按照销售额和征收率计算应纳税额的简易计税方法，计算缴纳增值税。</w:t>
      </w:r>
    </w:p>
    <w:p w14:paraId="6D4B4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中外合作开采海洋石油、天然气增值税的计税方法等，按照国务院的有关规定执行。</w:t>
      </w:r>
    </w:p>
    <w:p w14:paraId="7CE1D1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本法所称小规模纳税人，是指年应征增值税销售额未超过五百万元的纳税人。</w:t>
      </w:r>
    </w:p>
    <w:p w14:paraId="2401E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小规模纳税人会计核算健全，能够提供准确税务资料的，可以向主管税务机关办理登记，按照本法规定的一般计税方法计算缴纳增值税。</w:t>
      </w:r>
    </w:p>
    <w:p w14:paraId="6FDFE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根据国民经济和社会发展的需要，国务院可以对小规模纳税人的标准作出调整，报全国人民代表大会常务委员会备案。</w:t>
      </w:r>
    </w:p>
    <w:p w14:paraId="0128F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第二章　税 　率</w:t>
      </w:r>
    </w:p>
    <w:p w14:paraId="047780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增值税税率：</w:t>
      </w:r>
    </w:p>
    <w:p w14:paraId="436E99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（一）纳税人销售货物、加工修理修配服务、有形动产租赁服务，进口货物，除本条第二项、第四项、第五项规定外，税率为百分之十三。</w:t>
      </w:r>
    </w:p>
    <w:p w14:paraId="7B31E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（二）纳税人销售交通运输、邮政、基础电信、建筑、不动产租赁服务，销售不动产，转让土地使用权，销售或者进口下列货物，除本条第四项、第五项规定外，税率为百分之九：</w:t>
      </w:r>
    </w:p>
    <w:p w14:paraId="28515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1.农产品、食用植物油、食用盐；</w:t>
      </w:r>
    </w:p>
    <w:p w14:paraId="29669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2.自来水、暖气、冷气、热水、煤气、石油液化气、天然气、二甲醚、沼气、居民用煤炭制品；</w:t>
      </w:r>
    </w:p>
    <w:p w14:paraId="0F108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3.图书、报纸、杂志、音像制品、电子出版物；</w:t>
      </w:r>
    </w:p>
    <w:p w14:paraId="493C0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4.饲料、化肥、农药、农机、农膜。</w:t>
      </w:r>
    </w:p>
    <w:p w14:paraId="2D245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（三）纳税人销售服务、无形资产，除本条第一项、第二项、第五项规定外，税率为百分之六。</w:t>
      </w:r>
    </w:p>
    <w:p w14:paraId="66EBF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（四）纳税人出口货物，税率为零；国务院另有规定的除外。</w:t>
      </w:r>
    </w:p>
    <w:p w14:paraId="5F9EF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（五）境内单位和个人跨境销售国务院规定范围内的服务、无形资产，税率为零。</w:t>
      </w:r>
    </w:p>
    <w:p w14:paraId="615F47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适用简易计税方法计算缴纳增值税的征收率为百分之三。</w:t>
      </w:r>
    </w:p>
    <w:p w14:paraId="2AE56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纳税人发生两项以上应税交易涉及不同税率、征收率的，应当分别核算适用不同税率、征收率的销售额；未分别核算的，从高适用税率。</w:t>
      </w:r>
    </w:p>
    <w:p w14:paraId="76C42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纳税人发生一项应税交易涉及两个以上税率、征收率的，按照应税交易的主要业务适用税率、征收率。</w:t>
      </w:r>
    </w:p>
    <w:p w14:paraId="53FE0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第三章　应纳税额</w:t>
      </w:r>
    </w:p>
    <w:p w14:paraId="02017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按照一般计税方法计算缴纳增值税的，应纳税额为当期销项税额抵扣当期进项税额后的余额。</w:t>
      </w:r>
    </w:p>
    <w:p w14:paraId="53CC46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按照简易计税方法计算缴纳增值税的，应纳税额为当期销售额乘以征收率。</w:t>
      </w:r>
    </w:p>
    <w:p w14:paraId="71C12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进口货物，按照本法规定的组成计税价格乘以适用税率计算缴纳增值税。组成计税价格，为关税计税价格加上关税和消费税；国务院另有规定的，从其规定。</w:t>
      </w:r>
    </w:p>
    <w:p w14:paraId="7A12D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境外单位和个人在境内发生应税交易，以购买方为扣缴义务人；按照国务院的规定委托境内代理人申报缴纳税款的除外。</w:t>
      </w:r>
    </w:p>
    <w:p w14:paraId="0359C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扣缴义务人依照本法规定代扣代缴税款的，按照销售额乘以税率计算应扣缴税额。</w:t>
      </w:r>
    </w:p>
    <w:p w14:paraId="44B2DE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销项税额，是指纳税人发生应税交易，按照销售额乘以本法规定的税率计算的增值税税额。</w:t>
      </w:r>
    </w:p>
    <w:p w14:paraId="28B05D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进项税额，是指纳税人购进货物、服务、无形资产、不动产支付或者负担的增值税税额。</w:t>
      </w:r>
    </w:p>
    <w:p w14:paraId="0EEA4F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纳税人应当凭法律、行政法规或者国务院规定的增值税扣税凭证从销项税额中抵扣进项税额。</w:t>
      </w:r>
    </w:p>
    <w:p w14:paraId="37A2D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销售额，是指纳税人发生应税交易取得的与之相关的价款，包括货币和非货币形式的经济利益对应的全部价款，不包括按照一般计税方法计算的销项税额和按照简易计税方法计算的应纳税额。</w:t>
      </w:r>
    </w:p>
    <w:p w14:paraId="447B6B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销售额以人民币计算。纳税人以人民币以外的货币结算销售额的，应当折合成人民币计算。</w:t>
      </w:r>
    </w:p>
    <w:p w14:paraId="5ED1F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发生本法第五条规定的视同应税交易以及销售额为非货币形式的，纳税人应当按照市场价格确定销售额。</w:t>
      </w:r>
    </w:p>
    <w:p w14:paraId="1ABB03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销售额明显偏低或者偏高且无正当理由的，税务机关可以依照《中华人民共和国税收征收管理法》和有关行政法规的规定核定销售额。</w:t>
      </w:r>
    </w:p>
    <w:p w14:paraId="6CA1A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当期进项税额大于当期销项税额的部分，纳税人可以按照国务院的规定选择结转下期继续抵扣或者申请退还。</w:t>
      </w:r>
    </w:p>
    <w:p w14:paraId="26BF9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纳税人的下列进项税额不得从其销项税额中抵扣：</w:t>
      </w:r>
    </w:p>
    <w:p w14:paraId="6FA40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（一）适用简易计税方法计税项目对应的进项税额；</w:t>
      </w:r>
    </w:p>
    <w:p w14:paraId="28120E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（二）免征增值税项目对应的进项税额；</w:t>
      </w:r>
    </w:p>
    <w:p w14:paraId="70036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（三）非正常损失项目对应的进项税额；</w:t>
      </w:r>
    </w:p>
    <w:p w14:paraId="53DB6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（四）购进并用于集体福利或者个人消费的货物、服务、无形资产、不动产对应的进项税额；</w:t>
      </w:r>
    </w:p>
    <w:p w14:paraId="5624C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（五）购进并直接用于消费的餐饮服务、居民日常服务和娱乐服务对应的进项税额；</w:t>
      </w:r>
    </w:p>
    <w:p w14:paraId="5BC2B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（六）国务院规定的其他进项税额。</w:t>
      </w:r>
    </w:p>
    <w:p w14:paraId="7732C9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第四章　税收优惠</w:t>
      </w:r>
    </w:p>
    <w:p w14:paraId="55BA7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小规模纳税人发生应税交易，销售额未达到起征点的，免征增值税；达到起征点的，依照本法规定全额计算缴纳增值税。</w:t>
      </w:r>
    </w:p>
    <w:p w14:paraId="33793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前款规定的起征点标准由国务院规定，报全国人民代表大会常务委员会备案。</w:t>
      </w:r>
    </w:p>
    <w:p w14:paraId="04511E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下列项目免征增值税：</w:t>
      </w:r>
    </w:p>
    <w:p w14:paraId="7D8D6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（一）农业生产者销售的自产农产品，农业机耕、排灌、病虫害防治、植物保护、农牧保险以及相关技术培训业务，家禽、牲畜、水生动物的配种和疾病防治；</w:t>
      </w:r>
    </w:p>
    <w:p w14:paraId="0170F0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（二）医疗机构提供的医疗服务；</w:t>
      </w:r>
    </w:p>
    <w:p w14:paraId="2E11F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（三）古旧图书，自然人销售的自己使用过的物品；</w:t>
      </w:r>
    </w:p>
    <w:p w14:paraId="27602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（四）直接用于科学研究、科学试验和教学的进口仪器、设备；</w:t>
      </w:r>
    </w:p>
    <w:p w14:paraId="36C5C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（五）外国政府、国际组织无偿援助的进口物资和设备；</w:t>
      </w:r>
    </w:p>
    <w:p w14:paraId="4CC6A2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（六）由残疾人的组织直接进口供残疾人专用的物品，残疾人个人提供的服务；</w:t>
      </w:r>
    </w:p>
    <w:p w14:paraId="6D3AE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（七）托儿所、幼儿园、养老机构、残疾人服务机构提供的育养服务，婚姻介绍服务，殡葬服务；</w:t>
      </w:r>
    </w:p>
    <w:p w14:paraId="2870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（八）学校提供的学历教育服务，学生勤工俭学提供的服务；</w:t>
      </w:r>
    </w:p>
    <w:p w14:paraId="141AA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（九）纪念馆、博物馆、文化馆、文物保护单位管理机构、美术馆、展览馆、书画院、图书馆举办文化活动的门票收入，宗教场所举办文化、宗教活动的门票收入。</w:t>
      </w:r>
    </w:p>
    <w:p w14:paraId="0A7FA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前款规定的免税项目具体标准由国务院规定。</w:t>
      </w:r>
    </w:p>
    <w:p w14:paraId="4FF83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根据国民经济和社会发展的需要，国务院对支持小微企业发展、扶持重点产业、鼓励创新创业就业、公益事业捐赠等情形可以制定增值税专项优惠政策，报全国人民代表大会常务委员会备案。</w:t>
      </w:r>
    </w:p>
    <w:p w14:paraId="283B9E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国务院应当对增值税优惠政策适时开展评估、调整。</w:t>
      </w:r>
    </w:p>
    <w:p w14:paraId="18993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纳税人兼营增值税优惠项目的，应当单独核算增值税优惠项目的销售额；未单独核算的项目，不得享受税收优惠。</w:t>
      </w:r>
    </w:p>
    <w:p w14:paraId="05F18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纳税人可以放弃增值税优惠；放弃优惠的，在三十六个月内不得享受该项税收优惠，小规模纳税人除外。</w:t>
      </w:r>
    </w:p>
    <w:p w14:paraId="48A01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第五章　征收管理</w:t>
      </w:r>
    </w:p>
    <w:p w14:paraId="650EAC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增值税纳税义务发生时间，按照下列规定确定：</w:t>
      </w:r>
    </w:p>
    <w:p w14:paraId="2D5C4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（一）发生应税交易，纳税义务发生时间为收讫销售款项或者取得销售款项索取凭据的当日；先开具发票的，为开具发票的当日。</w:t>
      </w:r>
    </w:p>
    <w:p w14:paraId="7066E0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（二）发生视同应税交易，纳税义务发生时间为完成视同应税交易的当日。</w:t>
      </w:r>
    </w:p>
    <w:p w14:paraId="47C61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（三）进口货物，纳税义务发生时间为货物报关进口的当日。</w:t>
      </w:r>
    </w:p>
    <w:p w14:paraId="55FF4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增值税扣缴义务发生时间为纳税人增值税纳税义务发生的当日。</w:t>
      </w:r>
    </w:p>
    <w:p w14:paraId="375C8F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增值税纳税地点，按照下列规定确定：</w:t>
      </w:r>
    </w:p>
    <w:p w14:paraId="36241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一）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w:t>
      </w:r>
    </w:p>
    <w:p w14:paraId="03775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（二）无固定生产经营场所的纳税人，应当向其应税交易发生地主管税务机关申报纳税；未申报纳税的，由其机构所在地或者居住地主管税务机关补征税款。</w:t>
      </w:r>
    </w:p>
    <w:p w14:paraId="059DDC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（三）自然人销售或者租赁不动产，转让自然资源使用权，提供建筑服务，应当向不动产所在地、自然资源所在地、建筑服务发生地主管税务机关申报纳税。</w:t>
      </w:r>
    </w:p>
    <w:p w14:paraId="0ED6D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（四）进口货物的纳税人，应当按照海关规定的地点申报纳税。</w:t>
      </w:r>
    </w:p>
    <w:p w14:paraId="30C50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（五）扣缴义务人，应当向其机构所在地或者居住地主管税务机关申报缴纳扣缴的税款；机构所在地或者居住地在境外的，应当向应税交易发生地主管税务机关申报缴纳扣缴的税款。</w:t>
      </w:r>
    </w:p>
    <w:p w14:paraId="13BA7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增值税的计税期间分别为十日、十五日、一个月或者一个季度。纳税人的具体计税期间，由主管税务机关根据纳税人应纳税额的大小分别核定。不经常发生应税交易的纳税人，可以按次纳税。</w:t>
      </w:r>
    </w:p>
    <w:p w14:paraId="0E6C3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纳税人以一个月或者一个季度为一个计税期间的，自期满之日起十五日内申报纳税；以十日或者十五日为一个计税期间的，自次月一日起十五日内申报纳税。</w:t>
      </w:r>
    </w:p>
    <w:p w14:paraId="21ADCF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扣缴义务人解缴税款的计税期间和申报纳税期限，依照前两款规定执行。</w:t>
      </w:r>
    </w:p>
    <w:p w14:paraId="032D1D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纳税人进口货物，应当按照海关规定的期限申报并缴纳税款。</w:t>
      </w:r>
    </w:p>
    <w:p w14:paraId="298B3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第三十一条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纳税人以十日或者十五日为一个计税期间的，应当自期满之日起五日内预缴税款。</w:t>
      </w:r>
    </w:p>
    <w:p w14:paraId="6D3E2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法律、行政法规对纳税人预缴税款另有规定的，从其规定。</w:t>
      </w:r>
    </w:p>
    <w:p w14:paraId="073FF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第三十二条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增值税由税务机关征收，进口货物的增值税由海关代征。</w:t>
      </w:r>
    </w:p>
    <w:p w14:paraId="1F5AE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海关应当将代征增值税和货物出口报关的信息提供给税务机关。</w:t>
      </w:r>
    </w:p>
    <w:p w14:paraId="4250D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个人携带或者寄递进境物品增值税的计征办法由国务院制定，报全国人民代表大会常务委员会备案。</w:t>
      </w:r>
    </w:p>
    <w:p w14:paraId="5C266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第三十三条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纳税人出口货物或者跨境销售服务、无形资产，适用零税率的，应当向主管税务机关申报办理退（免）税。出口退（免）税的具体办法，由国务院制定。</w:t>
      </w:r>
    </w:p>
    <w:p w14:paraId="42B70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第三十四条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纳税人应当依法开具和使用增值税发票。增值税发票包括纸质发票和电子发票。电子发票与纸质发票具有同等法律效力。</w:t>
      </w:r>
    </w:p>
    <w:p w14:paraId="2C7A90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国家积极推广使用电子发票。</w:t>
      </w:r>
    </w:p>
    <w:p w14:paraId="4B515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第三十五条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税务机关与工业和信息化、公安、海关、市场监督管理、人民银行、金融监督管理等部门建立增值税涉税信息共享机制和工作配合机制。</w:t>
      </w:r>
    </w:p>
    <w:p w14:paraId="24511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有关部门应当依照法律、行政法规，在各自职责范围内，支持、协助税务机关开展增值税征收管理。</w:t>
      </w:r>
    </w:p>
    <w:p w14:paraId="0CD0C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第三十六条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增值税的征收管理依照本法和《中华人民共和国税收征收管理法》的规定执行。</w:t>
      </w:r>
    </w:p>
    <w:p w14:paraId="48A9F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第三十七条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纳税人、扣缴义务人、税务机关及其工作人员违反本法规定的，依照《中华人民共和国税收征收管理法》和有关法律、行政法规的规定追究法律责任。</w:t>
      </w:r>
    </w:p>
    <w:p w14:paraId="353C8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第六章　附 　则</w:t>
      </w:r>
    </w:p>
    <w:p w14:paraId="19C9E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第三十八条</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本法自2026年1月1日起施行。《中华人民共和国增值税暂行条例》同时废止。 </w:t>
      </w:r>
    </w:p>
    <w:p w14:paraId="504B71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D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2025-02-18T01:01:24Z</dcterms:created>
  <dc:creator>Administrator</dc:creator>
  <cp:lastModifiedBy>乌拉拉</cp:lastModifiedBy>
  <dcterms:modified xsi:type="dcterms:W3CDTF">2025-02-18T01:01:57Z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eyJoZGlkIjoiMWE1YzE4MjZhY2E2ODg2NTg3Y2ZiZmJmNDgwODIzZjIiLCJ1c2VySWQiOiIyMDA4MjQ1MDAifQ==</vt:lpwstr>
  </property>
  <property fmtid="{D5CDD505-2E9C-101B-9397-08002B2CF9AE}" pid="4" name="ICV">
    <vt:lpwstr>CB57D4A8C65044FEA819A945B9ECFBAB_12</vt:lpwstr>
  </property>
</Properties>
</file>